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FFAF" w14:textId="57754784" w:rsidR="0062104F" w:rsidRDefault="0062104F" w:rsidP="00D10F0F">
      <w:pPr>
        <w:spacing w:after="0" w:line="240" w:lineRule="auto"/>
        <w:jc w:val="right"/>
        <w:textAlignment w:val="baseline"/>
        <w:rPr>
          <w:rFonts w:ascii="Palatino Linotype" w:eastAsia="Times New Roman" w:hAnsi="Palatino Linotype" w:cs="Segoe UI"/>
          <w:b/>
          <w:bCs/>
          <w:kern w:val="0"/>
          <w:sz w:val="28"/>
          <w:szCs w:val="28"/>
          <w:lang w:eastAsia="da-DK"/>
          <w14:ligatures w14:val="none"/>
        </w:rPr>
      </w:pPr>
      <w:r w:rsidRPr="0062104F">
        <w:rPr>
          <w:rFonts w:ascii="Times New Roman" w:eastAsia="Times New Roman" w:hAnsi="Times New Roman" w:cs="Times New Roman"/>
          <w:kern w:val="0"/>
          <w:sz w:val="28"/>
          <w:szCs w:val="28"/>
          <w:lang w:eastAsia="da-DK"/>
          <w14:ligatures w14:val="none"/>
        </w:rPr>
        <w:t>  </w:t>
      </w:r>
      <w:r w:rsidRPr="0062104F">
        <w:rPr>
          <w:noProof/>
        </w:rPr>
        <w:drawing>
          <wp:inline distT="0" distB="0" distL="0" distR="0" wp14:anchorId="4E416607" wp14:editId="79E76990">
            <wp:extent cx="2440940" cy="914400"/>
            <wp:effectExtent l="0" t="0" r="0" b="0"/>
            <wp:docPr id="476184063" name="Billede 1" descr="Et billede, der indeholder tekst, Font/skrifttype, Grafik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184063" name="Billede 1" descr="Et billede, der indeholder tekst, Font/skrifttype, Grafik,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7A97D" w14:textId="0B50EC8C" w:rsidR="0062104F" w:rsidRPr="0062104F" w:rsidRDefault="0062104F" w:rsidP="0062104F">
      <w:pPr>
        <w:spacing w:after="0" w:line="240" w:lineRule="auto"/>
        <w:ind w:left="105" w:right="-432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da-DK"/>
          <w14:ligatures w14:val="none"/>
        </w:rPr>
      </w:pPr>
      <w:r w:rsidRPr="0062104F">
        <w:rPr>
          <w:rFonts w:ascii="Palatino Linotype" w:eastAsia="Times New Roman" w:hAnsi="Palatino Linotype" w:cs="Segoe UI"/>
          <w:b/>
          <w:bCs/>
          <w:kern w:val="0"/>
          <w:sz w:val="28"/>
          <w:szCs w:val="28"/>
          <w:lang w:eastAsia="da-DK"/>
          <w14:ligatures w14:val="none"/>
        </w:rPr>
        <w:t>Orientering om Forslag til Finanslov 202</w:t>
      </w:r>
      <w:r>
        <w:rPr>
          <w:rFonts w:ascii="Palatino Linotype" w:eastAsia="Times New Roman" w:hAnsi="Palatino Linotype" w:cs="Segoe UI"/>
          <w:b/>
          <w:bCs/>
          <w:kern w:val="0"/>
          <w:sz w:val="28"/>
          <w:szCs w:val="28"/>
          <w:lang w:eastAsia="da-DK"/>
          <w14:ligatures w14:val="none"/>
        </w:rPr>
        <w:t>4</w:t>
      </w:r>
      <w:r w:rsidRPr="0062104F">
        <w:rPr>
          <w:rFonts w:ascii="Palatino Linotype" w:eastAsia="Times New Roman" w:hAnsi="Palatino Linotype" w:cs="Segoe UI"/>
          <w:b/>
          <w:bCs/>
          <w:kern w:val="0"/>
          <w:sz w:val="28"/>
          <w:szCs w:val="28"/>
          <w:lang w:eastAsia="da-DK"/>
          <w14:ligatures w14:val="none"/>
        </w:rPr>
        <w:t> </w:t>
      </w:r>
    </w:p>
    <w:p w14:paraId="333DF12F" w14:textId="2948A9ED" w:rsidR="0062104F" w:rsidRPr="0062104F" w:rsidRDefault="0062104F" w:rsidP="0062104F">
      <w:pPr>
        <w:spacing w:after="0" w:line="240" w:lineRule="auto"/>
        <w:ind w:left="10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62104F">
        <w:rPr>
          <w:rFonts w:ascii="Palatino Linotype" w:eastAsia="Times New Roman" w:hAnsi="Palatino Linotype" w:cs="Segoe UI"/>
          <w:i/>
          <w:iCs/>
          <w:kern w:val="0"/>
          <w:sz w:val="20"/>
          <w:szCs w:val="20"/>
          <w:lang w:eastAsia="da-DK"/>
          <w14:ligatures w14:val="none"/>
        </w:rPr>
        <w:t>Højskolernes Hus, 1. september 202</w:t>
      </w:r>
      <w:r>
        <w:rPr>
          <w:rFonts w:ascii="Palatino Linotype" w:eastAsia="Times New Roman" w:hAnsi="Palatino Linotype" w:cs="Segoe UI"/>
          <w:i/>
          <w:iCs/>
          <w:kern w:val="0"/>
          <w:sz w:val="20"/>
          <w:szCs w:val="20"/>
          <w:lang w:eastAsia="da-DK"/>
          <w14:ligatures w14:val="none"/>
        </w:rPr>
        <w:t>3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 </w:t>
      </w:r>
    </w:p>
    <w:p w14:paraId="47F59124" w14:textId="77777777" w:rsidR="00A056FF" w:rsidRDefault="0062104F" w:rsidP="001615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 </w:t>
      </w:r>
    </w:p>
    <w:p w14:paraId="29B73C5B" w14:textId="34CD6DAF" w:rsidR="0062104F" w:rsidRPr="0062104F" w:rsidRDefault="0062104F" w:rsidP="00161591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Den 31. august 202</w:t>
      </w:r>
      <w:r w:rsidR="001A5872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3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 xml:space="preserve"> har regeringen offentliggjort finanslovsforslaget for 20</w:t>
      </w:r>
      <w:r w:rsidR="00477688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24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 xml:space="preserve"> (FFL20</w:t>
      </w:r>
      <w:r w:rsidR="00477688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24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 xml:space="preserve">). Og </w:t>
      </w:r>
      <w:r w:rsidR="00477688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igen i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 xml:space="preserve"> år er der ikke indbygget besparelser på højskoleområdet. </w:t>
      </w:r>
    </w:p>
    <w:p w14:paraId="2B97914D" w14:textId="32CDDF41" w:rsidR="0062104F" w:rsidRPr="0062104F" w:rsidRDefault="0062104F" w:rsidP="000F4B33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 xml:space="preserve">Takststrukturen er uændret, og nedenstående skema viser </w:t>
      </w:r>
      <w:r w:rsidR="00477688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 xml:space="preserve">de foreslåede 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taksterne for 202</w:t>
      </w:r>
      <w:r w:rsidR="00477688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4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, som de fremgår af FFL 202</w:t>
      </w:r>
      <w:r w:rsidR="00477688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4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. Sammenlignet med FL202</w:t>
      </w:r>
      <w:r w:rsidR="00477688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3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 xml:space="preserve"> er der for alle takster tale om en stigning på 4 % svarende til den beregnede pris- og lønregulering. </w:t>
      </w:r>
    </w:p>
    <w:p w14:paraId="70AE02B9" w14:textId="7B0CE967" w:rsidR="0062104F" w:rsidRPr="0062104F" w:rsidRDefault="0062104F" w:rsidP="00A056F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Af finanslovsforslagets budgettal frem til og med 202</w:t>
      </w:r>
      <w:r w:rsidR="00BE34F6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7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 xml:space="preserve"> fremgår det, at der heller ikke </w:t>
      </w:r>
      <w:r w:rsidR="001D13C6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 xml:space="preserve">for nuværende 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budgetteres med besparelser i de kommende år. </w:t>
      </w:r>
    </w:p>
    <w:p w14:paraId="26912C34" w14:textId="77777777" w:rsidR="004171AD" w:rsidRPr="0062104F" w:rsidRDefault="0062104F" w:rsidP="00D6635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 xml:space="preserve">Hele finanslovsforslaget kan ses på: </w:t>
      </w:r>
      <w:hyperlink r:id="rId5" w:history="1">
        <w:r w:rsidRPr="009F0DAD">
          <w:rPr>
            <w:rStyle w:val="Hyperlink"/>
            <w:rFonts w:ascii="Palatino Linotype" w:eastAsia="Times New Roman" w:hAnsi="Palatino Linotype" w:cs="Segoe UI"/>
            <w:kern w:val="0"/>
            <w:sz w:val="20"/>
            <w:szCs w:val="20"/>
            <w:lang w:eastAsia="da-DK"/>
            <w14:ligatures w14:val="none"/>
          </w:rPr>
          <w:t>FFL202</w:t>
        </w:r>
        <w:r w:rsidR="00427156" w:rsidRPr="009F0DAD">
          <w:rPr>
            <w:rStyle w:val="Hyperlink"/>
            <w:rFonts w:ascii="Palatino Linotype" w:eastAsia="Times New Roman" w:hAnsi="Palatino Linotype" w:cs="Segoe UI"/>
            <w:kern w:val="0"/>
            <w:sz w:val="20"/>
            <w:szCs w:val="20"/>
            <w:lang w:eastAsia="da-DK"/>
            <w14:ligatures w14:val="none"/>
          </w:rPr>
          <w:t>4</w:t>
        </w:r>
      </w:hyperlink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– fra side 20</w:t>
      </w:r>
      <w:r w:rsidR="0099656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6</w:t>
      </w:r>
      <w:r w:rsidRPr="0062104F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t>. </w:t>
      </w:r>
      <w:r w:rsidR="00F40C9D">
        <w:rPr>
          <w:rFonts w:ascii="Palatino Linotype" w:eastAsia="Times New Roman" w:hAnsi="Palatino Linotype" w:cs="Segoe UI"/>
          <w:kern w:val="0"/>
          <w:sz w:val="20"/>
          <w:szCs w:val="20"/>
          <w:lang w:eastAsia="da-DK"/>
          <w14:ligatures w14:val="none"/>
        </w:rPr>
        <w:br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5"/>
        <w:gridCol w:w="1100"/>
        <w:gridCol w:w="1100"/>
        <w:gridCol w:w="959"/>
        <w:gridCol w:w="976"/>
      </w:tblGrid>
      <w:tr w:rsidR="004171AD" w:rsidRPr="004171AD" w14:paraId="4AB1A087" w14:textId="77777777" w:rsidTr="004171AD">
        <w:trPr>
          <w:trHeight w:val="410"/>
        </w:trPr>
        <w:tc>
          <w:tcPr>
            <w:tcW w:w="99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99B90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32"/>
                <w:szCs w:val="32"/>
                <w:lang w:eastAsia="da-DK"/>
                <w14:ligatures w14:val="none"/>
              </w:rPr>
            </w:pPr>
            <w:r w:rsidRPr="004171AD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32"/>
                <w:szCs w:val="32"/>
                <w:lang w:eastAsia="da-DK"/>
                <w14:ligatures w14:val="none"/>
              </w:rPr>
              <w:t>FFL 2024</w:t>
            </w:r>
            <w:r w:rsidRPr="004171AD">
              <w:rPr>
                <w:rFonts w:ascii="Arial" w:eastAsia="Times New Roman" w:hAnsi="Arial" w:cs="Arial"/>
                <w:color w:val="0000FF"/>
                <w:kern w:val="0"/>
                <w:sz w:val="32"/>
                <w:szCs w:val="32"/>
                <w:lang w:eastAsia="da-DK"/>
                <w14:ligatures w14:val="none"/>
              </w:rPr>
              <w:t> </w:t>
            </w:r>
          </w:p>
        </w:tc>
      </w:tr>
      <w:tr w:rsidR="004171AD" w:rsidRPr="004171AD" w14:paraId="112D55ED" w14:textId="77777777" w:rsidTr="004171AD">
        <w:trPr>
          <w:trHeight w:val="510"/>
        </w:trPr>
        <w:tc>
          <w:tcPr>
            <w:tcW w:w="582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68443F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da-DK"/>
                <w14:ligatures w14:val="none"/>
              </w:rPr>
              <w:t>Finanslovskonto 21.57 – Folkehøjskoler</w:t>
            </w:r>
            <w:r w:rsidRPr="004171AD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0ED944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Takst/</w:t>
            </w:r>
            <w:proofErr w:type="spellStart"/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tilsk</w:t>
            </w:r>
            <w:proofErr w:type="spellEnd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B1B7E7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Takst/</w:t>
            </w:r>
            <w:proofErr w:type="spellStart"/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tilsk</w:t>
            </w:r>
            <w:proofErr w:type="spellEnd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E90D95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I forhold </w:t>
            </w:r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br/>
              <w:t>til 2023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BADFEC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Pr. uge</w:t>
            </w: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</w:tr>
      <w:tr w:rsidR="004171AD" w:rsidRPr="004171AD" w14:paraId="27CA28FB" w14:textId="77777777" w:rsidTr="004171AD">
        <w:trPr>
          <w:trHeight w:val="280"/>
        </w:trPr>
        <w:tc>
          <w:tcPr>
            <w:tcW w:w="5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1BE0" w14:textId="77777777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 xml:space="preserve">Alle takster </w:t>
            </w: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gives pr. årselev: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80B63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:lang w:eastAsia="da-DK"/>
                <w14:ligatures w14:val="none"/>
              </w:rPr>
              <w:t>FFL2024</w:t>
            </w:r>
            <w:r w:rsidRPr="004171AD">
              <w:rPr>
                <w:rFonts w:ascii="Calibri" w:eastAsia="Times New Roman" w:hAnsi="Calibri" w:cs="Calibri"/>
                <w:color w:val="FF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27B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a-DK"/>
                <w14:ligatures w14:val="none"/>
              </w:rPr>
              <w:t>FL2023</w:t>
            </w: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5765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%</w:t>
            </w: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87F2" w14:textId="77777777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FFL2023</w:t>
            </w: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</w:tr>
      <w:tr w:rsidR="004171AD" w:rsidRPr="004171AD" w14:paraId="3931138F" w14:textId="77777777" w:rsidTr="004171AD">
        <w:trPr>
          <w:trHeight w:val="28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2E566" w14:textId="77777777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Takst 1, elever der har gennemført mindre end 2 uger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74715" w14:textId="3AA1B29E" w:rsidR="004171AD" w:rsidRPr="004171AD" w:rsidRDefault="004171AD" w:rsidP="00606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 xml:space="preserve">      </w:t>
            </w:r>
            <w:r w:rsidR="0060697E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>4</w:t>
            </w: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 xml:space="preserve">3.866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EBFFB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       42.017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7C160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3467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1096,65</w:t>
            </w:r>
          </w:p>
        </w:tc>
      </w:tr>
      <w:tr w:rsidR="004171AD" w:rsidRPr="004171AD" w14:paraId="68E29EB6" w14:textId="77777777" w:rsidTr="004171AD">
        <w:trPr>
          <w:trHeight w:val="28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81B02" w14:textId="5BC61BE1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Takst 2, elever der har gennemført mindst 2</w:t>
            </w:r>
            <w:r w:rsidR="00595B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 </w:t>
            </w: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og mindre end 12 uger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0EF32" w14:textId="1E3448D5" w:rsidR="004171AD" w:rsidRPr="004171AD" w:rsidRDefault="004171AD" w:rsidP="00595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 xml:space="preserve">      68.003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53857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       65.137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F4004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AE32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1700,075</w:t>
            </w:r>
          </w:p>
        </w:tc>
      </w:tr>
      <w:tr w:rsidR="004171AD" w:rsidRPr="004171AD" w14:paraId="45FF087E" w14:textId="77777777" w:rsidTr="004171AD">
        <w:trPr>
          <w:trHeight w:val="28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F9158" w14:textId="77777777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Takst 3, elever der har gennemført mindst 12 uger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7C604" w14:textId="562BAFC8" w:rsidR="004171AD" w:rsidRPr="004171AD" w:rsidRDefault="004171AD" w:rsidP="00CF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 xml:space="preserve">    116.016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47A9E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     111.126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0E049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FEAD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2900,4</w:t>
            </w:r>
          </w:p>
        </w:tc>
      </w:tr>
      <w:tr w:rsidR="004171AD" w:rsidRPr="004171AD" w14:paraId="26F31CA8" w14:textId="77777777" w:rsidTr="004171AD">
        <w:trPr>
          <w:trHeight w:val="28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594DA" w14:textId="77777777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Takst ved ekstern kompetencegivende undervisning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C492F" w14:textId="65037C59" w:rsidR="004171AD" w:rsidRPr="004171AD" w:rsidRDefault="004171AD" w:rsidP="00CF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 xml:space="preserve">      68.363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06FAE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       65.482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95DB8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5141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4171AD" w:rsidRPr="004171AD" w14:paraId="096BAF48" w14:textId="77777777" w:rsidTr="004171AD">
        <w:trPr>
          <w:trHeight w:val="28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F1E30" w14:textId="77777777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Tilskud til specialundervisning – takst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60A61" w14:textId="51C6435D" w:rsidR="004171AD" w:rsidRPr="004171AD" w:rsidRDefault="004171AD" w:rsidP="00CF3C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 xml:space="preserve">      24.061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8F725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       23.047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DF9FE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5DEA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601,525</w:t>
            </w:r>
          </w:p>
        </w:tc>
      </w:tr>
      <w:tr w:rsidR="004171AD" w:rsidRPr="004171AD" w14:paraId="5FB41B72" w14:textId="77777777" w:rsidTr="004171AD">
        <w:trPr>
          <w:trHeight w:val="28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00566" w14:textId="142C56BB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Tillægstakst, unge uden kompetencegiv. </w:t>
            </w:r>
            <w:proofErr w:type="spellStart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udd</w:t>
            </w:r>
            <w:proofErr w:type="spellEnd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. – med </w:t>
            </w:r>
            <w:proofErr w:type="spellStart"/>
            <w:proofErr w:type="gramStart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udd</w:t>
            </w:r>
            <w:r w:rsidR="00F05D3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.</w:t>
            </w: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plan</w:t>
            </w:r>
            <w:proofErr w:type="spellEnd"/>
            <w:proofErr w:type="gramEnd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BBBEC" w14:textId="5E531F24" w:rsidR="004171AD" w:rsidRPr="004171AD" w:rsidRDefault="004171AD" w:rsidP="00F05D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 xml:space="preserve">      46.959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52A79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       44.980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B375A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57E7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1173,975</w:t>
            </w:r>
          </w:p>
        </w:tc>
      </w:tr>
      <w:tr w:rsidR="004171AD" w:rsidRPr="004171AD" w14:paraId="6FDA6EFA" w14:textId="77777777" w:rsidTr="004171AD">
        <w:trPr>
          <w:trHeight w:val="28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DDF26" w14:textId="4863B0D1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Tillægstakst, unge uden kompetencegiv. </w:t>
            </w:r>
            <w:proofErr w:type="spellStart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udd</w:t>
            </w:r>
            <w:proofErr w:type="spellEnd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. – uden </w:t>
            </w:r>
            <w:proofErr w:type="spellStart"/>
            <w:proofErr w:type="gramStart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udd</w:t>
            </w:r>
            <w:r w:rsidR="008568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.</w:t>
            </w: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plan</w:t>
            </w:r>
            <w:proofErr w:type="spellEnd"/>
            <w:proofErr w:type="gramEnd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67C83" w14:textId="33832CED" w:rsidR="004171AD" w:rsidRPr="004171AD" w:rsidRDefault="004171AD" w:rsidP="00856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 xml:space="preserve">      17.786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380E8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       17.036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543E3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1BD5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444,65</w:t>
            </w:r>
          </w:p>
        </w:tc>
      </w:tr>
      <w:tr w:rsidR="004171AD" w:rsidRPr="004171AD" w14:paraId="6508CC51" w14:textId="77777777" w:rsidTr="004171AD">
        <w:trPr>
          <w:trHeight w:val="28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05A4B" w14:textId="69AC0C31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Elevstøtte, elever under 18 år – kostelever (</w:t>
            </w:r>
            <w:proofErr w:type="spellStart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ungdomsh</w:t>
            </w:r>
            <w:proofErr w:type="spellEnd"/>
            <w:r w:rsidR="008568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.</w:t>
            </w: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) - takst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4B143" w14:textId="085CA266" w:rsidR="004171AD" w:rsidRPr="004171AD" w:rsidRDefault="004171AD" w:rsidP="008568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 xml:space="preserve">      17.751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10BCB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       17.003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E23EA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B88C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443,775</w:t>
            </w:r>
          </w:p>
        </w:tc>
      </w:tr>
      <w:tr w:rsidR="004171AD" w:rsidRPr="004171AD" w14:paraId="573116E8" w14:textId="77777777" w:rsidTr="004171AD">
        <w:trPr>
          <w:trHeight w:val="28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32A20" w14:textId="21AF605A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Elevstøtte, elever under 18 år – dagelever (</w:t>
            </w:r>
            <w:proofErr w:type="spellStart"/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ungdomsh</w:t>
            </w:r>
            <w:proofErr w:type="spellEnd"/>
            <w:r w:rsidR="0085684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.</w:t>
            </w: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) - takst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3DA47" w14:textId="030E0285" w:rsidR="004171AD" w:rsidRPr="004171AD" w:rsidRDefault="004171AD" w:rsidP="00D10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 xml:space="preserve">      12.187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9A8AA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       11.673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8578D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3953C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304,675</w:t>
            </w:r>
          </w:p>
        </w:tc>
      </w:tr>
      <w:tr w:rsidR="004171AD" w:rsidRPr="004171AD" w14:paraId="0F744CFA" w14:textId="77777777" w:rsidTr="004171AD">
        <w:trPr>
          <w:trHeight w:val="30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8A2B8" w14:textId="77777777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Grundtilskud</w:t>
            </w: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7178E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da-DK"/>
                <w14:ligatures w14:val="none"/>
              </w:rPr>
              <w:t xml:space="preserve">     809.000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F6A99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da-DK"/>
                <w14:ligatures w14:val="none"/>
              </w:rPr>
              <w:t xml:space="preserve">      775.680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9120D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457B" w14:textId="77777777" w:rsidR="004171AD" w:rsidRPr="004171AD" w:rsidRDefault="004171AD" w:rsidP="004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> </w:t>
            </w:r>
          </w:p>
        </w:tc>
      </w:tr>
      <w:tr w:rsidR="004171AD" w:rsidRPr="004171AD" w14:paraId="202D0C77" w14:textId="77777777" w:rsidTr="004171AD">
        <w:trPr>
          <w:trHeight w:val="300"/>
        </w:trPr>
        <w:tc>
          <w:tcPr>
            <w:tcW w:w="994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9C0F9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 xml:space="preserve">Mindste ugentlige elevbetaling 2024 </w:t>
            </w:r>
            <w:proofErr w:type="gramStart"/>
            <w:r w:rsidRPr="004171A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( i</w:t>
            </w:r>
            <w:proofErr w:type="gramEnd"/>
            <w:r w:rsidRPr="004171A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 xml:space="preserve"> hele kr.)</w:t>
            </w:r>
            <w:r w:rsidRPr="004171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4171AD" w:rsidRPr="004171AD" w14:paraId="124B3D4E" w14:textId="77777777" w:rsidTr="004171AD">
        <w:trPr>
          <w:trHeight w:val="260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FC61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Elever, der er 17,5 år ved kursets begyndelse:</w:t>
            </w:r>
            <w:r w:rsidRPr="004171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61C8E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7597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5DB06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65BA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da-DK"/>
                <w14:ligatures w14:val="none"/>
              </w:rPr>
            </w:pPr>
            <w:r w:rsidRPr="004171A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da-DK"/>
                <w14:ligatures w14:val="none"/>
              </w:rPr>
              <w:t> </w:t>
            </w:r>
          </w:p>
        </w:tc>
      </w:tr>
      <w:tr w:rsidR="004171AD" w:rsidRPr="004171AD" w14:paraId="46DB16E3" w14:textId="77777777" w:rsidTr="004171AD">
        <w:trPr>
          <w:trHeight w:val="220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B9DAB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kurser af mindst 12 ugers varighed – Kostelever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9C24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BDA8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ED929" w14:textId="77777777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       1.118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DB6CF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4171AD" w:rsidRPr="004171AD" w14:paraId="51F6D382" w14:textId="77777777" w:rsidTr="004171AD">
        <w:trPr>
          <w:trHeight w:val="220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EDB0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kurser af mindst 12 ugers varighed – dagelever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05001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12C0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282B" w14:textId="77777777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          899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B9FC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4171AD" w:rsidRPr="004171AD" w14:paraId="1F8451BB" w14:textId="77777777" w:rsidTr="004171AD">
        <w:trPr>
          <w:trHeight w:val="220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0FB3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Kurser af under 12 ugers varighed - Kostelever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07F7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6294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8510" w14:textId="77777777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       1.350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5A41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  <w:tr w:rsidR="004171AD" w:rsidRPr="004171AD" w14:paraId="46B92AB0" w14:textId="77777777" w:rsidTr="004171AD">
        <w:trPr>
          <w:trHeight w:val="220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0438F" w14:textId="77777777" w:rsidR="004171AD" w:rsidRPr="004171AD" w:rsidRDefault="004171AD" w:rsidP="00417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Kurser af under 12 ugers varighed - dagelever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C8982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E421C8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0E288" w14:textId="77777777" w:rsidR="004171AD" w:rsidRPr="004171AD" w:rsidRDefault="004171AD" w:rsidP="00417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</w:pPr>
            <w:r w:rsidRPr="004171A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da-DK"/>
                <w14:ligatures w14:val="none"/>
              </w:rPr>
              <w:t xml:space="preserve">       1.041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2C08" w14:textId="77777777" w:rsidR="004171AD" w:rsidRPr="004171AD" w:rsidRDefault="004171AD" w:rsidP="004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</w:pPr>
            <w:r w:rsidRPr="004171A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da-DK"/>
                <w14:ligatures w14:val="none"/>
              </w:rPr>
              <w:t> </w:t>
            </w:r>
          </w:p>
        </w:tc>
      </w:tr>
    </w:tbl>
    <w:p w14:paraId="40E67BCC" w14:textId="4A07C158" w:rsidR="00077B08" w:rsidRPr="0062104F" w:rsidRDefault="00077B08" w:rsidP="00D6635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</w:p>
    <w:p w14:paraId="4955C838" w14:textId="1F5E7518" w:rsidR="0062104F" w:rsidRPr="0062104F" w:rsidRDefault="0062104F" w:rsidP="0062104F">
      <w:pPr>
        <w:spacing w:after="0" w:line="240" w:lineRule="auto"/>
        <w:ind w:left="105" w:right="4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da-DK"/>
          <w14:ligatures w14:val="none"/>
        </w:rPr>
      </w:pPr>
      <w:r w:rsidRPr="0062104F">
        <w:rPr>
          <w:rFonts w:ascii="Palatino Linotype" w:eastAsia="Times New Roman" w:hAnsi="Palatino Linotype" w:cs="Segoe UI"/>
          <w:kern w:val="0"/>
          <w:sz w:val="18"/>
          <w:szCs w:val="18"/>
          <w:lang w:eastAsia="da-DK"/>
          <w14:ligatures w14:val="none"/>
        </w:rPr>
        <w:t>Det er også på finansloven, at grænsebeløbet for øvrige indtægter uden fradrag i grundtilskuddet fastsættes. Der vil således i 202</w:t>
      </w:r>
      <w:r w:rsidR="0042686D">
        <w:rPr>
          <w:rFonts w:ascii="Palatino Linotype" w:eastAsia="Times New Roman" w:hAnsi="Palatino Linotype" w:cs="Segoe UI"/>
          <w:kern w:val="0"/>
          <w:sz w:val="18"/>
          <w:szCs w:val="18"/>
          <w:lang w:eastAsia="da-DK"/>
          <w14:ligatures w14:val="none"/>
        </w:rPr>
        <w:t>4</w:t>
      </w:r>
      <w:r w:rsidRPr="0062104F">
        <w:rPr>
          <w:rFonts w:ascii="Palatino Linotype" w:eastAsia="Times New Roman" w:hAnsi="Palatino Linotype" w:cs="Segoe UI"/>
          <w:kern w:val="0"/>
          <w:sz w:val="18"/>
          <w:szCs w:val="18"/>
          <w:lang w:eastAsia="da-DK"/>
          <w14:ligatures w14:val="none"/>
        </w:rPr>
        <w:t xml:space="preserve"> ske et fradrag i grundtilskuddet på 4 % af øvrige indtægter ud over grænsebeløbet, der uændret er fastsat til 2,7 mio. kr. Grundtilskuddet kan dog ikke reduceres til under 1</w:t>
      </w:r>
      <w:r w:rsidR="00AD3E89">
        <w:rPr>
          <w:rFonts w:ascii="Palatino Linotype" w:eastAsia="Times New Roman" w:hAnsi="Palatino Linotype" w:cs="Segoe UI"/>
          <w:kern w:val="0"/>
          <w:sz w:val="18"/>
          <w:szCs w:val="18"/>
          <w:lang w:eastAsia="da-DK"/>
          <w14:ligatures w14:val="none"/>
        </w:rPr>
        <w:t>75</w:t>
      </w:r>
      <w:r w:rsidRPr="0062104F">
        <w:rPr>
          <w:rFonts w:ascii="Palatino Linotype" w:eastAsia="Times New Roman" w:hAnsi="Palatino Linotype" w:cs="Segoe UI"/>
          <w:kern w:val="0"/>
          <w:sz w:val="18"/>
          <w:szCs w:val="18"/>
          <w:lang w:eastAsia="da-DK"/>
          <w14:ligatures w14:val="none"/>
        </w:rPr>
        <w:t>.</w:t>
      </w:r>
      <w:r w:rsidR="00F40C9D">
        <w:rPr>
          <w:rFonts w:ascii="Palatino Linotype" w:eastAsia="Times New Roman" w:hAnsi="Palatino Linotype" w:cs="Segoe UI"/>
          <w:kern w:val="0"/>
          <w:sz w:val="18"/>
          <w:szCs w:val="18"/>
          <w:lang w:eastAsia="da-DK"/>
          <w14:ligatures w14:val="none"/>
        </w:rPr>
        <w:t>806 kr.</w:t>
      </w:r>
      <w:r w:rsidRPr="0062104F">
        <w:rPr>
          <w:rFonts w:ascii="Palatino Linotype" w:eastAsia="Times New Roman" w:hAnsi="Palatino Linotype" w:cs="Segoe UI"/>
          <w:kern w:val="0"/>
          <w:sz w:val="18"/>
          <w:szCs w:val="18"/>
          <w:lang w:eastAsia="da-DK"/>
          <w14:ligatures w14:val="none"/>
        </w:rPr>
        <w:t> </w:t>
      </w:r>
    </w:p>
    <w:p w14:paraId="09421244" w14:textId="77777777" w:rsidR="00692FDB" w:rsidRDefault="00692FDB"/>
    <w:sectPr w:rsidR="00692F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4F"/>
    <w:rsid w:val="000008B1"/>
    <w:rsid w:val="00077B08"/>
    <w:rsid w:val="000F4B33"/>
    <w:rsid w:val="00161591"/>
    <w:rsid w:val="001A4538"/>
    <w:rsid w:val="001A5872"/>
    <w:rsid w:val="001D13C6"/>
    <w:rsid w:val="004171AD"/>
    <w:rsid w:val="0042686D"/>
    <w:rsid w:val="00427156"/>
    <w:rsid w:val="00477688"/>
    <w:rsid w:val="00494998"/>
    <w:rsid w:val="004D09E9"/>
    <w:rsid w:val="00595B0C"/>
    <w:rsid w:val="0060697E"/>
    <w:rsid w:val="0062104F"/>
    <w:rsid w:val="00692FDB"/>
    <w:rsid w:val="006F0F60"/>
    <w:rsid w:val="0085684F"/>
    <w:rsid w:val="0099656F"/>
    <w:rsid w:val="009F0DAD"/>
    <w:rsid w:val="00A056FF"/>
    <w:rsid w:val="00AD3E89"/>
    <w:rsid w:val="00BE34F6"/>
    <w:rsid w:val="00CD11CF"/>
    <w:rsid w:val="00CF3CD7"/>
    <w:rsid w:val="00D1063D"/>
    <w:rsid w:val="00D10F0F"/>
    <w:rsid w:val="00D66354"/>
    <w:rsid w:val="00DB75F2"/>
    <w:rsid w:val="00E15EDF"/>
    <w:rsid w:val="00F05D31"/>
    <w:rsid w:val="00F26D9B"/>
    <w:rsid w:val="00F4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7FD6"/>
  <w15:chartTrackingRefBased/>
  <w15:docId w15:val="{583B3B67-2939-47E9-968F-30DD055D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eop">
    <w:name w:val="eop"/>
    <w:basedOn w:val="Standardskrifttypeiafsnit"/>
    <w:rsid w:val="0062104F"/>
  </w:style>
  <w:style w:type="character" w:customStyle="1" w:styleId="normaltextrun">
    <w:name w:val="normaltextrun"/>
    <w:basedOn w:val="Standardskrifttypeiafsnit"/>
    <w:rsid w:val="0062104F"/>
  </w:style>
  <w:style w:type="character" w:styleId="Hyperlink">
    <w:name w:val="Hyperlink"/>
    <w:basedOn w:val="Standardskrifttypeiafsnit"/>
    <w:uiPriority w:val="99"/>
    <w:unhideWhenUsed/>
    <w:rsid w:val="009F0D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F0DA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96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6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.dk/media/27235/ffl24a2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West Nielsen</dc:creator>
  <cp:keywords/>
  <dc:description/>
  <cp:lastModifiedBy>Ole Wille</cp:lastModifiedBy>
  <cp:revision>2</cp:revision>
  <dcterms:created xsi:type="dcterms:W3CDTF">2023-09-01T09:13:00Z</dcterms:created>
  <dcterms:modified xsi:type="dcterms:W3CDTF">2023-09-01T09:13:00Z</dcterms:modified>
</cp:coreProperties>
</file>